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4AA62" w14:textId="5B322F3D" w:rsidR="00657EA6" w:rsidRPr="00695C6B" w:rsidRDefault="00657EA6" w:rsidP="00657EA6">
      <w:pPr>
        <w:spacing w:after="0" w:line="240" w:lineRule="auto"/>
        <w:ind w:left="714" w:hanging="714"/>
        <w:rPr>
          <w:i/>
          <w:iCs/>
          <w:noProof/>
        </w:rPr>
      </w:pPr>
      <w:r w:rsidRPr="00695C6B">
        <w:rPr>
          <w:i/>
          <w:iCs/>
          <w:noProof/>
        </w:rPr>
        <w:t xml:space="preserve">Załącznik nr 2 – formularz </w:t>
      </w:r>
      <w:r w:rsidR="00BD11F5" w:rsidRPr="00695C6B">
        <w:rPr>
          <w:i/>
          <w:iCs/>
          <w:noProof/>
        </w:rPr>
        <w:t xml:space="preserve">ofertowy </w:t>
      </w:r>
      <w:r w:rsidRPr="00695C6B">
        <w:rPr>
          <w:i/>
          <w:iCs/>
          <w:noProof/>
        </w:rPr>
        <w:t xml:space="preserve">techniczny </w:t>
      </w:r>
      <w:r w:rsidR="00CE3087">
        <w:rPr>
          <w:i/>
          <w:iCs/>
          <w:noProof/>
        </w:rPr>
        <w:t>– część nr 5</w:t>
      </w:r>
    </w:p>
    <w:p w14:paraId="1F4BCF1A" w14:textId="14D6435A" w:rsidR="00657EA6" w:rsidRPr="00695C6B" w:rsidRDefault="00657EA6" w:rsidP="00657EA6">
      <w:pPr>
        <w:spacing w:after="0" w:line="240" w:lineRule="auto"/>
        <w:rPr>
          <w:i/>
          <w:iCs/>
          <w:noProof/>
        </w:rPr>
      </w:pPr>
      <w:r w:rsidRPr="00695C6B">
        <w:rPr>
          <w:i/>
          <w:iCs/>
          <w:noProof/>
        </w:rPr>
        <w:t>Zakup specjalistycznego oprogramowania oraz sprzętu w celu podniesienia poziomu bezpieczeństwa systemów teleinformatycznych wykorzystywanych w Szpitalu (sygnatura: ZP/2501/104/22)</w:t>
      </w:r>
    </w:p>
    <w:p w14:paraId="623837B6" w14:textId="77777777" w:rsidR="00657EA6" w:rsidRPr="00695C6B" w:rsidRDefault="00657EA6" w:rsidP="00657EA6">
      <w:pPr>
        <w:spacing w:after="0" w:line="240" w:lineRule="auto"/>
        <w:rPr>
          <w:noProof/>
        </w:rPr>
      </w:pPr>
    </w:p>
    <w:p w14:paraId="6FD89FE2" w14:textId="30C94CC8" w:rsidR="00D4270C" w:rsidRPr="00695C6B" w:rsidRDefault="00657EA6" w:rsidP="00D4270C">
      <w:pPr>
        <w:spacing w:after="0" w:line="240" w:lineRule="auto"/>
        <w:rPr>
          <w:i/>
          <w:iCs/>
          <w:noProof/>
        </w:rPr>
      </w:pPr>
      <w:r w:rsidRPr="00695C6B">
        <w:rPr>
          <w:i/>
          <w:iCs/>
          <w:noProof/>
        </w:rPr>
        <w:t xml:space="preserve">Uwaga: Wykonawca zostaje zobowiązany do uzupełnienia </w:t>
      </w:r>
      <w:r w:rsidR="00CB798D" w:rsidRPr="00695C6B">
        <w:rPr>
          <w:i/>
          <w:iCs/>
          <w:noProof/>
        </w:rPr>
        <w:t xml:space="preserve">kolumny „Oferowane parametry” </w:t>
      </w:r>
      <w:r w:rsidR="00D4270C" w:rsidRPr="00695C6B">
        <w:rPr>
          <w:i/>
          <w:iCs/>
          <w:noProof/>
        </w:rPr>
        <w:t xml:space="preserve">o opis spełnienia wymaganych minimalnych parametrów technicznych. </w:t>
      </w:r>
      <w:r w:rsidR="00B021ED" w:rsidRPr="00695C6B">
        <w:rPr>
          <w:i/>
          <w:iCs/>
          <w:noProof/>
        </w:rPr>
        <w:t xml:space="preserve">Zamawiający wymaga ponadto, aby </w:t>
      </w:r>
      <w:r w:rsidR="00B021ED" w:rsidRPr="00695C6B">
        <w:rPr>
          <w:b/>
          <w:bCs/>
          <w:i/>
          <w:iCs/>
          <w:noProof/>
        </w:rPr>
        <w:t>przedmiotowe środki dowodowe, złożone wraz z ofertą</w:t>
      </w:r>
      <w:r w:rsidR="000B30AC" w:rsidRPr="00695C6B">
        <w:rPr>
          <w:b/>
          <w:bCs/>
          <w:i/>
          <w:iCs/>
          <w:noProof/>
        </w:rPr>
        <w:t xml:space="preserve">, </w:t>
      </w:r>
      <w:r w:rsidR="000B30AC" w:rsidRPr="00695C6B">
        <w:rPr>
          <w:i/>
          <w:iCs/>
          <w:noProof/>
        </w:rPr>
        <w:t xml:space="preserve">potwierdziły sporządzony  przez wykonawcę opis. </w:t>
      </w:r>
    </w:p>
    <w:p w14:paraId="15B553D3" w14:textId="77777777" w:rsidR="00657EA6" w:rsidRPr="00695C6B" w:rsidRDefault="00657EA6" w:rsidP="00657EA6">
      <w:pPr>
        <w:spacing w:after="0" w:line="240" w:lineRule="auto"/>
        <w:rPr>
          <w:noProof/>
        </w:rPr>
      </w:pPr>
    </w:p>
    <w:p w14:paraId="561D6932" w14:textId="77777777" w:rsidR="00E76ED0" w:rsidRPr="00CE3087" w:rsidRDefault="00E76ED0" w:rsidP="00E76ED0">
      <w:pPr>
        <w:spacing w:after="0" w:line="240" w:lineRule="auto"/>
        <w:rPr>
          <w:rFonts w:ascii="Times New Roman" w:eastAsia="Times New Roman" w:hAnsi="Times New Roman" w:cs="Times New Roman"/>
          <w:b/>
          <w:bCs/>
          <w:noProof/>
          <w:sz w:val="24"/>
          <w:szCs w:val="24"/>
          <w:lang w:eastAsia="pl-PL"/>
        </w:rPr>
      </w:pPr>
      <w:bookmarkStart w:id="0" w:name="_Hlk109984284"/>
      <w:r w:rsidRPr="00CE3087">
        <w:rPr>
          <w:rFonts w:ascii="Times New Roman" w:eastAsia="Times New Roman" w:hAnsi="Times New Roman" w:cs="Times New Roman"/>
          <w:b/>
          <w:bCs/>
          <w:noProof/>
          <w:sz w:val="24"/>
          <w:szCs w:val="24"/>
          <w:lang w:eastAsia="pl-PL"/>
        </w:rPr>
        <w:t>5. LTO 8</w:t>
      </w:r>
    </w:p>
    <w:tbl>
      <w:tblPr>
        <w:tblW w:w="4961" w:type="pct"/>
        <w:tblInd w:w="-10" w:type="dxa"/>
        <w:tblCellMar>
          <w:left w:w="0" w:type="dxa"/>
          <w:right w:w="0" w:type="dxa"/>
        </w:tblCellMar>
        <w:tblLook w:val="0000" w:firstRow="0" w:lastRow="0" w:firstColumn="0" w:lastColumn="0" w:noHBand="0" w:noVBand="0"/>
      </w:tblPr>
      <w:tblGrid>
        <w:gridCol w:w="1008"/>
        <w:gridCol w:w="2411"/>
        <w:gridCol w:w="5227"/>
        <w:gridCol w:w="5227"/>
      </w:tblGrid>
      <w:tr w:rsidR="00C8270C" w:rsidRPr="00695C6B" w14:paraId="3293DD31" w14:textId="7A8F4CA3" w:rsidTr="00C8270C">
        <w:trPr>
          <w:cantSplit/>
          <w:tblHeader/>
        </w:trPr>
        <w:tc>
          <w:tcPr>
            <w:tcW w:w="363"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415991E9" w14:textId="77777777" w:rsidR="00C8270C" w:rsidRPr="00695C6B" w:rsidRDefault="00C8270C" w:rsidP="00E76ED0">
            <w:pPr>
              <w:spacing w:after="0" w:line="240" w:lineRule="auto"/>
              <w:jc w:val="center"/>
              <w:rPr>
                <w:rFonts w:ascii="Calibri" w:eastAsia="Times New Roman" w:hAnsi="Calibri" w:cs="Tahoma"/>
                <w:b/>
                <w:bCs/>
                <w:noProof/>
                <w:sz w:val="20"/>
                <w:szCs w:val="20"/>
                <w:lang w:eastAsia="pl-PL"/>
              </w:rPr>
            </w:pPr>
            <w:r w:rsidRPr="00695C6B">
              <w:rPr>
                <w:rFonts w:ascii="Calibri" w:eastAsia="Times New Roman" w:hAnsi="Calibri" w:cs="Tahoma"/>
                <w:b/>
                <w:bCs/>
                <w:noProof/>
                <w:sz w:val="20"/>
                <w:szCs w:val="20"/>
                <w:lang w:eastAsia="pl-PL"/>
              </w:rPr>
              <w:t>L.p.</w:t>
            </w:r>
          </w:p>
        </w:tc>
        <w:tc>
          <w:tcPr>
            <w:tcW w:w="86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43F5CF5" w14:textId="77777777" w:rsidR="00C8270C" w:rsidRPr="00695C6B" w:rsidRDefault="00C8270C" w:rsidP="00E76ED0">
            <w:pPr>
              <w:spacing w:after="0" w:line="240" w:lineRule="auto"/>
              <w:jc w:val="center"/>
              <w:rPr>
                <w:rFonts w:ascii="Calibri" w:eastAsia="Times New Roman" w:hAnsi="Calibri" w:cs="Tahoma"/>
                <w:b/>
                <w:bCs/>
                <w:noProof/>
                <w:sz w:val="20"/>
                <w:szCs w:val="20"/>
                <w:lang w:eastAsia="pl-PL"/>
              </w:rPr>
            </w:pPr>
            <w:r w:rsidRPr="00695C6B">
              <w:rPr>
                <w:rFonts w:ascii="Calibri" w:eastAsia="Times New Roman" w:hAnsi="Calibri" w:cs="Tahoma"/>
                <w:b/>
                <w:bCs/>
                <w:noProof/>
                <w:sz w:val="20"/>
                <w:szCs w:val="20"/>
                <w:lang w:eastAsia="pl-PL"/>
              </w:rPr>
              <w:t>Element konfiguracji</w:t>
            </w:r>
          </w:p>
        </w:tc>
        <w:tc>
          <w:tcPr>
            <w:tcW w:w="188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2DDDD728" w14:textId="77777777" w:rsidR="00C8270C" w:rsidRPr="00695C6B" w:rsidRDefault="00C8270C" w:rsidP="00E76ED0">
            <w:pPr>
              <w:spacing w:after="0" w:line="240" w:lineRule="auto"/>
              <w:jc w:val="center"/>
              <w:rPr>
                <w:rFonts w:ascii="Calibri" w:eastAsia="Times New Roman" w:hAnsi="Calibri" w:cs="Tahoma"/>
                <w:b/>
                <w:bCs/>
                <w:noProof/>
                <w:sz w:val="20"/>
                <w:szCs w:val="20"/>
                <w:lang w:eastAsia="pl-PL"/>
              </w:rPr>
            </w:pPr>
            <w:r w:rsidRPr="00695C6B">
              <w:rPr>
                <w:rFonts w:ascii="Calibri" w:eastAsia="Times New Roman" w:hAnsi="Calibri" w:cs="Tahoma"/>
                <w:b/>
                <w:bCs/>
                <w:noProof/>
                <w:sz w:val="20"/>
                <w:szCs w:val="20"/>
                <w:lang w:eastAsia="pl-PL"/>
              </w:rPr>
              <w:t>Wymagane minimalne parametry techniczne</w:t>
            </w:r>
          </w:p>
        </w:tc>
        <w:tc>
          <w:tcPr>
            <w:tcW w:w="1884" w:type="pct"/>
            <w:tcBorders>
              <w:top w:val="single" w:sz="8" w:space="0" w:color="auto"/>
              <w:left w:val="nil"/>
              <w:bottom w:val="single" w:sz="8" w:space="0" w:color="auto"/>
              <w:right w:val="single" w:sz="8" w:space="0" w:color="auto"/>
            </w:tcBorders>
            <w:shd w:val="clear" w:color="auto" w:fill="D9D9D9"/>
          </w:tcPr>
          <w:p w14:paraId="63AE36F1" w14:textId="77777777" w:rsidR="00C8270C" w:rsidRPr="00695C6B" w:rsidRDefault="00C8270C" w:rsidP="00C8270C">
            <w:pPr>
              <w:spacing w:after="0" w:line="240" w:lineRule="auto"/>
              <w:jc w:val="center"/>
              <w:rPr>
                <w:rFonts w:ascii="Calibri" w:eastAsia="Times New Roman" w:hAnsi="Calibri" w:cs="Tahoma"/>
                <w:b/>
                <w:bCs/>
                <w:noProof/>
                <w:sz w:val="20"/>
                <w:szCs w:val="20"/>
                <w:lang w:eastAsia="pl-PL"/>
              </w:rPr>
            </w:pPr>
            <w:r w:rsidRPr="00695C6B">
              <w:rPr>
                <w:rFonts w:ascii="Calibri" w:eastAsia="Times New Roman" w:hAnsi="Calibri" w:cs="Tahoma"/>
                <w:b/>
                <w:bCs/>
                <w:noProof/>
                <w:sz w:val="20"/>
                <w:szCs w:val="20"/>
                <w:lang w:eastAsia="pl-PL"/>
              </w:rPr>
              <w:t>Oferowane parametry</w:t>
            </w:r>
          </w:p>
          <w:p w14:paraId="667BF256" w14:textId="2D7E9AC9" w:rsidR="00C8270C" w:rsidRPr="00695C6B" w:rsidRDefault="00C8270C" w:rsidP="00C8270C">
            <w:pPr>
              <w:spacing w:after="0" w:line="240" w:lineRule="auto"/>
              <w:jc w:val="center"/>
              <w:rPr>
                <w:rFonts w:ascii="Calibri" w:eastAsia="Times New Roman" w:hAnsi="Calibri" w:cs="Tahoma"/>
                <w:b/>
                <w:bCs/>
                <w:noProof/>
                <w:sz w:val="20"/>
                <w:szCs w:val="20"/>
                <w:lang w:eastAsia="pl-PL"/>
              </w:rPr>
            </w:pPr>
            <w:r w:rsidRPr="00695C6B">
              <w:rPr>
                <w:rFonts w:ascii="Calibri" w:eastAsia="Times New Roman" w:hAnsi="Calibri" w:cs="Tahoma"/>
                <w:b/>
                <w:bCs/>
                <w:noProof/>
                <w:sz w:val="20"/>
                <w:szCs w:val="20"/>
                <w:lang w:eastAsia="pl-PL"/>
              </w:rPr>
              <w:t>(wymagany opis)</w:t>
            </w:r>
          </w:p>
        </w:tc>
      </w:tr>
      <w:tr w:rsidR="00C8270C" w:rsidRPr="00695C6B" w14:paraId="4B7312E7" w14:textId="3C0CC773"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D997B76"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1.</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342255D4"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Wykorzystana technologia</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24437884"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sz w:val="20"/>
                <w:szCs w:val="20"/>
                <w:lang w:eastAsia="pl-PL"/>
              </w:rPr>
              <w:t xml:space="preserve">LTO-8 Ultrium wspierające technologię partycjonowania nośników. </w:t>
            </w:r>
            <w:r w:rsidRPr="00695C6B">
              <w:rPr>
                <w:rFonts w:ascii="Calibri" w:eastAsia="Times New Roman" w:hAnsi="Calibri" w:cs="Tahoma"/>
                <w:noProof/>
                <w:color w:val="000000"/>
                <w:sz w:val="20"/>
                <w:szCs w:val="20"/>
                <w:lang w:eastAsia="pl-PL"/>
              </w:rPr>
              <w:t>Urządzenie musi mieć możliwość instalowania w tej samej obudowie i w tym samym czasie także napędów LTO szóstej, siódmej i dziewiątej generacji</w:t>
            </w:r>
          </w:p>
        </w:tc>
        <w:tc>
          <w:tcPr>
            <w:tcW w:w="1884" w:type="pct"/>
            <w:tcBorders>
              <w:top w:val="nil"/>
              <w:left w:val="nil"/>
              <w:bottom w:val="single" w:sz="8" w:space="0" w:color="auto"/>
              <w:right w:val="single" w:sz="8" w:space="0" w:color="auto"/>
            </w:tcBorders>
          </w:tcPr>
          <w:p w14:paraId="514C6A6E" w14:textId="77777777" w:rsidR="00C8270C" w:rsidRPr="00695C6B" w:rsidRDefault="00C8270C" w:rsidP="00E76ED0">
            <w:pPr>
              <w:spacing w:after="0" w:line="240" w:lineRule="auto"/>
              <w:rPr>
                <w:rFonts w:ascii="Calibri" w:eastAsia="Times New Roman" w:hAnsi="Calibri" w:cs="Tahoma"/>
                <w:noProof/>
                <w:sz w:val="20"/>
                <w:szCs w:val="20"/>
                <w:lang w:eastAsia="pl-PL"/>
              </w:rPr>
            </w:pPr>
          </w:p>
        </w:tc>
      </w:tr>
      <w:tr w:rsidR="00C8270C" w:rsidRPr="00695C6B" w14:paraId="4C7289EB" w14:textId="7B9BEE20"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A9158A"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2.</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29AC1F02"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Wbudowane napędy</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4B2E5B54"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Dwa napędy LTO-8 wyposażone w złącza dual SAS 6Gb. Urządzenie powinno mieć możliwość instalowania w tej samej obudowie i w tym samym czasie także napędów LTO z interfejsem FC oraz wspierać technologię LTFS (Linear Tape File System) umożliwiającą kopiowanie danych na taśmę bez konieczności użycia oprogramowania do backupu kompatybilną z systemami Linux, MAC OS i Microsoft. Prędkość zapisu pojedynczego napędu LTO-8 bez kompresji – minimum 300 MB/sek. Zainstalowane napędy powinny mieć możliwość dynamicznego i płynnego dopasowania prędkości do napływających danych (speed matching) w przedziale od 100 do 300 MB/sek. oraz stosować szyfrowanie danych metodą AES 256-bit</w:t>
            </w:r>
          </w:p>
        </w:tc>
        <w:tc>
          <w:tcPr>
            <w:tcW w:w="1884" w:type="pct"/>
            <w:tcBorders>
              <w:top w:val="nil"/>
              <w:left w:val="nil"/>
              <w:bottom w:val="single" w:sz="8" w:space="0" w:color="auto"/>
              <w:right w:val="single" w:sz="8" w:space="0" w:color="auto"/>
            </w:tcBorders>
          </w:tcPr>
          <w:p w14:paraId="280B3E9B"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p>
        </w:tc>
      </w:tr>
      <w:tr w:rsidR="00C8270C" w:rsidRPr="00695C6B" w14:paraId="62828418" w14:textId="526D993F"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121E57E"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3.</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6C6E0CE7"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Ilość slotów i magazynki</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54F1FCF7"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Minimum 24 kieszenie na taśmy (u</w:t>
            </w:r>
            <w:r w:rsidRPr="00695C6B">
              <w:rPr>
                <w:rFonts w:ascii="Calibri" w:eastAsia="Times New Roman" w:hAnsi="Calibri" w:cs="Times New Roman"/>
                <w:noProof/>
                <w:sz w:val="20"/>
                <w:szCs w:val="20"/>
                <w:lang w:eastAsia="pl-PL"/>
              </w:rPr>
              <w:t>rządzenie musi być dostarczone z kompletem magazynków). Jeżeli licencjonowana jest liczba slotów - wymagane aktywowanie wszystkich slotów i magazynków zainstalowanych w urządzeniu. Wymagana ilość mail slot (I/E): min. 1. Wymiana taśm przez MailSlot powinna odbywać się bez konieczności wysuwania całego magazynka.</w:t>
            </w:r>
          </w:p>
        </w:tc>
        <w:tc>
          <w:tcPr>
            <w:tcW w:w="1884" w:type="pct"/>
            <w:tcBorders>
              <w:top w:val="nil"/>
              <w:left w:val="nil"/>
              <w:bottom w:val="single" w:sz="8" w:space="0" w:color="auto"/>
              <w:right w:val="single" w:sz="8" w:space="0" w:color="auto"/>
            </w:tcBorders>
          </w:tcPr>
          <w:p w14:paraId="519CF707" w14:textId="77777777" w:rsidR="00C8270C" w:rsidRPr="00695C6B" w:rsidRDefault="00C8270C" w:rsidP="00E76ED0">
            <w:pPr>
              <w:spacing w:after="0" w:line="240" w:lineRule="auto"/>
              <w:rPr>
                <w:rFonts w:ascii="Calibri" w:eastAsia="Times New Roman" w:hAnsi="Calibri" w:cs="Tahoma"/>
                <w:noProof/>
                <w:sz w:val="20"/>
                <w:szCs w:val="20"/>
                <w:lang w:eastAsia="pl-PL"/>
              </w:rPr>
            </w:pPr>
          </w:p>
        </w:tc>
      </w:tr>
      <w:tr w:rsidR="00C8270C" w:rsidRPr="00695C6B" w14:paraId="5AF00D84" w14:textId="0DBDAC06" w:rsidTr="00C8270C">
        <w:tblPrEx>
          <w:tblLook w:val="04A0" w:firstRow="1" w:lastRow="0" w:firstColumn="1" w:lastColumn="0" w:noHBand="0" w:noVBand="1"/>
        </w:tblPrEx>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41269EE"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lastRenderedPageBreak/>
              <w:t>4.</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1176A7CE"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Pojemność</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1010433C"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Pojemność bez kompresji – minimum 288TB</w:t>
            </w:r>
          </w:p>
        </w:tc>
        <w:tc>
          <w:tcPr>
            <w:tcW w:w="1884" w:type="pct"/>
            <w:tcBorders>
              <w:top w:val="nil"/>
              <w:left w:val="nil"/>
              <w:bottom w:val="single" w:sz="8" w:space="0" w:color="auto"/>
              <w:right w:val="single" w:sz="8" w:space="0" w:color="auto"/>
            </w:tcBorders>
          </w:tcPr>
          <w:p w14:paraId="407D2BE9"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p>
        </w:tc>
      </w:tr>
      <w:tr w:rsidR="00C8270C" w:rsidRPr="00695C6B" w14:paraId="7D5A1DAC" w14:textId="1D0A594C" w:rsidTr="00C8270C">
        <w:tblPrEx>
          <w:tblLook w:val="04A0" w:firstRow="1" w:lastRow="0" w:firstColumn="1" w:lastColumn="0" w:noHBand="0" w:noVBand="1"/>
        </w:tblPrEx>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36E0C"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5.</w:t>
            </w:r>
          </w:p>
        </w:tc>
        <w:tc>
          <w:tcPr>
            <w:tcW w:w="869" w:type="pct"/>
            <w:tcBorders>
              <w:top w:val="nil"/>
              <w:left w:val="nil"/>
              <w:bottom w:val="single" w:sz="8" w:space="0" w:color="auto"/>
              <w:right w:val="single" w:sz="8" w:space="0" w:color="auto"/>
            </w:tcBorders>
            <w:tcMar>
              <w:top w:w="0" w:type="dxa"/>
              <w:left w:w="108" w:type="dxa"/>
              <w:bottom w:w="0" w:type="dxa"/>
              <w:right w:w="108" w:type="dxa"/>
            </w:tcMar>
            <w:hideMark/>
          </w:tcPr>
          <w:p w14:paraId="23E1AE2F"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Obudowa</w:t>
            </w:r>
          </w:p>
        </w:tc>
        <w:tc>
          <w:tcPr>
            <w:tcW w:w="1884" w:type="pct"/>
            <w:tcBorders>
              <w:top w:val="nil"/>
              <w:left w:val="nil"/>
              <w:bottom w:val="single" w:sz="8" w:space="0" w:color="auto"/>
              <w:right w:val="single" w:sz="8" w:space="0" w:color="auto"/>
            </w:tcBorders>
            <w:tcMar>
              <w:top w:w="0" w:type="dxa"/>
              <w:left w:w="108" w:type="dxa"/>
              <w:bottom w:w="0" w:type="dxa"/>
              <w:right w:w="108" w:type="dxa"/>
            </w:tcMar>
            <w:hideMark/>
          </w:tcPr>
          <w:p w14:paraId="23E4032A"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Typu rack 19”. Wszystkie elementy do montażu winny być dostarczone wraz z urządzeniem, wysokość maksymalnie 2U</w:t>
            </w:r>
          </w:p>
        </w:tc>
        <w:tc>
          <w:tcPr>
            <w:tcW w:w="1884" w:type="pct"/>
            <w:tcBorders>
              <w:top w:val="nil"/>
              <w:left w:val="nil"/>
              <w:bottom w:val="single" w:sz="8" w:space="0" w:color="auto"/>
              <w:right w:val="single" w:sz="8" w:space="0" w:color="auto"/>
            </w:tcBorders>
          </w:tcPr>
          <w:p w14:paraId="31106F4F"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p>
        </w:tc>
      </w:tr>
      <w:tr w:rsidR="00C8270C" w:rsidRPr="00695C6B" w14:paraId="29B7DE4C" w14:textId="5E8AF41A"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5315144"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6.</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500741E5"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Zarządzanie</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4177BDC4" w14:textId="77777777" w:rsidR="00C8270C" w:rsidRPr="00695C6B" w:rsidRDefault="00C8270C" w:rsidP="00E76ED0">
            <w:pPr>
              <w:spacing w:after="0" w:line="240" w:lineRule="auto"/>
              <w:rPr>
                <w:rFonts w:ascii="Calibri" w:eastAsia="Times New Roman" w:hAnsi="Calibri" w:cs="Times New Roman"/>
                <w:noProof/>
                <w:sz w:val="20"/>
                <w:szCs w:val="20"/>
                <w:lang w:eastAsia="pl-PL"/>
              </w:rPr>
            </w:pPr>
            <w:r w:rsidRPr="00695C6B">
              <w:rPr>
                <w:rFonts w:ascii="Calibri" w:eastAsia="Times New Roman" w:hAnsi="Calibri" w:cs="Times New Roman"/>
                <w:noProof/>
                <w:sz w:val="20"/>
                <w:szCs w:val="20"/>
                <w:lang w:eastAsia="pl-PL"/>
              </w:rPr>
              <w:t xml:space="preserve">Za pomocą panelu kontrolnego znajdującego się na froncie urządzenia oraz zdalne przez sieć poprzez przeglądarkę internetową (web GUI) za pomocą interfejsu FastEthernet. Wymagane wsparcie SNTP, protokołów SSL/TLS i IPv6 oraz definiowanie minimum 4 poziomów zarządzania urządzeniem i dostępem do niego. Urządzenie musi mieć możliwość zabezpieczania swojej konfiguracji na podłączony, poprzez slot USB, PenDrive. Operacja powinna być możliwa zarówna poprzez web GUI jak i poprzez panel kontrolny urządzenia. Wymagana możliwość zdalnego wysuwania magazynków, restartowania biblioteki oraz wyłączania zasilania napędów poprzez webGUI. </w:t>
            </w:r>
          </w:p>
        </w:tc>
        <w:tc>
          <w:tcPr>
            <w:tcW w:w="1884" w:type="pct"/>
            <w:tcBorders>
              <w:top w:val="nil"/>
              <w:left w:val="nil"/>
              <w:bottom w:val="single" w:sz="8" w:space="0" w:color="auto"/>
              <w:right w:val="single" w:sz="8" w:space="0" w:color="auto"/>
            </w:tcBorders>
          </w:tcPr>
          <w:p w14:paraId="13C37173" w14:textId="77777777" w:rsidR="00C8270C" w:rsidRPr="00695C6B" w:rsidRDefault="00C8270C" w:rsidP="00E76ED0">
            <w:pPr>
              <w:spacing w:after="0" w:line="240" w:lineRule="auto"/>
              <w:rPr>
                <w:rFonts w:ascii="Calibri" w:eastAsia="Times New Roman" w:hAnsi="Calibri" w:cs="Times New Roman"/>
                <w:noProof/>
                <w:sz w:val="20"/>
                <w:szCs w:val="20"/>
                <w:lang w:eastAsia="pl-PL"/>
              </w:rPr>
            </w:pPr>
          </w:p>
        </w:tc>
      </w:tr>
      <w:tr w:rsidR="00C8270C" w:rsidRPr="00695C6B" w14:paraId="2EDC363B" w14:textId="4BE400C0"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DD7D823"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7.</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2C8B77FB"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Dodatkowe interfejsy</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7D8693AC" w14:textId="77777777" w:rsidR="00C8270C" w:rsidRPr="00695C6B" w:rsidRDefault="00C8270C" w:rsidP="00E76ED0">
            <w:pPr>
              <w:autoSpaceDE w:val="0"/>
              <w:autoSpaceDN w:val="0"/>
              <w:adjustRightInd w:val="0"/>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 xml:space="preserve">Biblioteka musi być wyposażone w interfejs sieciowy, </w:t>
            </w:r>
            <w:r w:rsidRPr="00695C6B">
              <w:rPr>
                <w:rFonts w:ascii="Calibri" w:eastAsia="Times New Roman" w:hAnsi="Calibri" w:cs="Tahoma"/>
                <w:noProof/>
                <w:sz w:val="20"/>
                <w:szCs w:val="20"/>
                <w:lang w:eastAsia="pl-PL"/>
              </w:rPr>
              <w:t>interfejs USB oraz interfejs ADI</w:t>
            </w:r>
          </w:p>
        </w:tc>
        <w:tc>
          <w:tcPr>
            <w:tcW w:w="1884" w:type="pct"/>
            <w:tcBorders>
              <w:top w:val="nil"/>
              <w:left w:val="nil"/>
              <w:bottom w:val="single" w:sz="8" w:space="0" w:color="auto"/>
              <w:right w:val="single" w:sz="8" w:space="0" w:color="auto"/>
            </w:tcBorders>
          </w:tcPr>
          <w:p w14:paraId="04FD9388" w14:textId="77777777" w:rsidR="00C8270C" w:rsidRPr="00695C6B" w:rsidRDefault="00C8270C" w:rsidP="00E76ED0">
            <w:pPr>
              <w:autoSpaceDE w:val="0"/>
              <w:autoSpaceDN w:val="0"/>
              <w:adjustRightInd w:val="0"/>
              <w:spacing w:after="0" w:line="240" w:lineRule="auto"/>
              <w:rPr>
                <w:rFonts w:ascii="Calibri" w:eastAsia="Times New Roman" w:hAnsi="Calibri" w:cs="Tahoma"/>
                <w:noProof/>
                <w:color w:val="000000"/>
                <w:sz w:val="20"/>
                <w:szCs w:val="20"/>
                <w:lang w:eastAsia="pl-PL"/>
              </w:rPr>
            </w:pPr>
          </w:p>
        </w:tc>
      </w:tr>
      <w:tr w:rsidR="00C8270C" w:rsidRPr="00695C6B" w14:paraId="7D63A3A6" w14:textId="0F116A5A"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1193BF1"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8.</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501D6378"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Obsługa urządzenia</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127DC10C" w14:textId="77777777" w:rsidR="00C8270C" w:rsidRPr="00695C6B" w:rsidRDefault="00C8270C" w:rsidP="00E76ED0">
            <w:pPr>
              <w:autoSpaceDE w:val="0"/>
              <w:autoSpaceDN w:val="0"/>
              <w:adjustRightInd w:val="0"/>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color w:val="000000"/>
                <w:sz w:val="20"/>
                <w:szCs w:val="20"/>
                <w:lang w:eastAsia="pl-PL"/>
              </w:rPr>
              <w:t xml:space="preserve">Wymagana możliwość wymiany napędów, zasilacza, modułu portów zarządzania u użytkownika bez konieczności demontażu urządzenia z szafy przemysłowej oraz bez konieczności zdejmowania pokrywy głównej. Możliwość wyjmowania magazynków z urządzenia nawet przy braku zasilania. </w:t>
            </w:r>
            <w:r w:rsidRPr="00695C6B">
              <w:rPr>
                <w:rFonts w:ascii="Calibri" w:eastAsia="Times New Roman" w:hAnsi="Calibri" w:cs="Tahoma"/>
                <w:noProof/>
                <w:sz w:val="20"/>
                <w:szCs w:val="20"/>
                <w:lang w:eastAsia="pl-PL"/>
              </w:rPr>
              <w:t xml:space="preserve">Zarówno napędy jak i zasilacz oraz </w:t>
            </w:r>
            <w:r w:rsidRPr="00695C6B">
              <w:rPr>
                <w:rFonts w:ascii="Calibri" w:eastAsia="Times New Roman" w:hAnsi="Calibri" w:cs="Tahoma"/>
                <w:noProof/>
                <w:color w:val="000000"/>
                <w:sz w:val="20"/>
                <w:szCs w:val="20"/>
                <w:lang w:eastAsia="pl-PL"/>
              </w:rPr>
              <w:t>moduł portów zarządzania</w:t>
            </w:r>
            <w:r w:rsidRPr="00695C6B">
              <w:rPr>
                <w:rFonts w:ascii="Calibri" w:eastAsia="Times New Roman" w:hAnsi="Calibri" w:cs="Tahoma"/>
                <w:noProof/>
                <w:sz w:val="20"/>
                <w:szCs w:val="20"/>
                <w:lang w:eastAsia="pl-PL"/>
              </w:rPr>
              <w:t xml:space="preserve"> powinny być wyposażone w lamki kontrolne, informujące o stanie technicznym i widoczne na tylnej stronie biblioteki. </w:t>
            </w:r>
          </w:p>
        </w:tc>
        <w:tc>
          <w:tcPr>
            <w:tcW w:w="1884" w:type="pct"/>
            <w:tcBorders>
              <w:top w:val="nil"/>
              <w:left w:val="nil"/>
              <w:bottom w:val="single" w:sz="8" w:space="0" w:color="auto"/>
              <w:right w:val="single" w:sz="8" w:space="0" w:color="auto"/>
            </w:tcBorders>
          </w:tcPr>
          <w:p w14:paraId="2A29BD0A" w14:textId="77777777" w:rsidR="00C8270C" w:rsidRPr="00695C6B" w:rsidRDefault="00C8270C" w:rsidP="00E76ED0">
            <w:pPr>
              <w:autoSpaceDE w:val="0"/>
              <w:autoSpaceDN w:val="0"/>
              <w:adjustRightInd w:val="0"/>
              <w:spacing w:after="0" w:line="240" w:lineRule="auto"/>
              <w:rPr>
                <w:rFonts w:ascii="Calibri" w:eastAsia="Times New Roman" w:hAnsi="Calibri" w:cs="Tahoma"/>
                <w:noProof/>
                <w:color w:val="000000"/>
                <w:sz w:val="20"/>
                <w:szCs w:val="20"/>
                <w:lang w:eastAsia="pl-PL"/>
              </w:rPr>
            </w:pPr>
          </w:p>
        </w:tc>
      </w:tr>
      <w:tr w:rsidR="00C8270C" w:rsidRPr="00695C6B" w14:paraId="71F74BBF" w14:textId="1E45E0E8"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8A23A5"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t>9.</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38865306"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Partycjonowanie</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142BDE2E"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imes New Roman"/>
                <w:noProof/>
                <w:sz w:val="20"/>
                <w:szCs w:val="20"/>
                <w:lang w:eastAsia="pl-PL"/>
              </w:rPr>
              <w:t>Wymagane stworzenie 2 logicznych partycji – jeżeli do tej operacji konieczna jest dodatkowa licencja, należy ją dostarczyć wraz z urządzeniem</w:t>
            </w:r>
          </w:p>
        </w:tc>
        <w:tc>
          <w:tcPr>
            <w:tcW w:w="1884" w:type="pct"/>
            <w:tcBorders>
              <w:top w:val="nil"/>
              <w:left w:val="nil"/>
              <w:bottom w:val="single" w:sz="8" w:space="0" w:color="auto"/>
              <w:right w:val="single" w:sz="8" w:space="0" w:color="auto"/>
            </w:tcBorders>
          </w:tcPr>
          <w:p w14:paraId="79D1E790" w14:textId="77777777" w:rsidR="00C8270C" w:rsidRPr="00695C6B" w:rsidRDefault="00C8270C" w:rsidP="00E76ED0">
            <w:pPr>
              <w:spacing w:after="0" w:line="240" w:lineRule="auto"/>
              <w:rPr>
                <w:rFonts w:ascii="Calibri" w:eastAsia="Times New Roman" w:hAnsi="Calibri" w:cs="Times New Roman"/>
                <w:noProof/>
                <w:sz w:val="20"/>
                <w:szCs w:val="20"/>
                <w:lang w:eastAsia="pl-PL"/>
              </w:rPr>
            </w:pPr>
          </w:p>
        </w:tc>
      </w:tr>
      <w:tr w:rsidR="00C8270C" w:rsidRPr="00695C6B" w14:paraId="21321391" w14:textId="04AD83DD"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721D1B4"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lastRenderedPageBreak/>
              <w:t>10.</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2776AED9"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Wyposażenie</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0F1E871D" w14:textId="77777777" w:rsidR="00C8270C" w:rsidRPr="00695C6B" w:rsidRDefault="00C8270C" w:rsidP="00E76ED0">
            <w:pPr>
              <w:autoSpaceDE w:val="0"/>
              <w:autoSpaceDN w:val="0"/>
              <w:adjustRightInd w:val="0"/>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Urządzenie musi być standardowo wyposażone w czytnik kodów kreskowych, zestaw kabli koniecznych do podłączenia do odpowiedniego kontrolera serwera umożliwiającego komunikację z urządzeniem – długość kabli min. 2m. W przypadku, gdyby serwer nie dysponował odpowiednim kontrolerem, należy taki dostarczyć wraz z urządzeniem – interfejs kontrolera: dual 12Gb mSAS). Wraz z urządzeniem należy dostarczyć także zestaw nośników danych o pojemności bez kompresji minimum 12,0 TB każdy w ilości odpowiadającej ilości wszystkich dostępnych slotów na nośniki w dostarczonym urządzeniu plus 1 wraz z nośnikiem czyszczącymi, przy czym wszystkie dostarczone nośniki muszą być kompatybilne i dedykowane do współpracy z oferowanym urządzeniem, co należy potwierdzić odpowiednim oświadczeniem producenta urządzenia – wszystkie nośniki muszą być wyposażone w naklejki z kodami kreskowymi. Instrukcja instalacji - w języku polskim lub angielskim</w:t>
            </w:r>
          </w:p>
        </w:tc>
        <w:tc>
          <w:tcPr>
            <w:tcW w:w="1884" w:type="pct"/>
            <w:tcBorders>
              <w:top w:val="nil"/>
              <w:left w:val="nil"/>
              <w:bottom w:val="single" w:sz="8" w:space="0" w:color="auto"/>
              <w:right w:val="single" w:sz="8" w:space="0" w:color="auto"/>
            </w:tcBorders>
          </w:tcPr>
          <w:p w14:paraId="0FA87534" w14:textId="77777777" w:rsidR="00C8270C" w:rsidRPr="00695C6B" w:rsidRDefault="00C8270C" w:rsidP="00E76ED0">
            <w:pPr>
              <w:autoSpaceDE w:val="0"/>
              <w:autoSpaceDN w:val="0"/>
              <w:adjustRightInd w:val="0"/>
              <w:spacing w:after="0" w:line="240" w:lineRule="auto"/>
              <w:rPr>
                <w:rFonts w:ascii="Calibri" w:eastAsia="Times New Roman" w:hAnsi="Calibri" w:cs="Tahoma"/>
                <w:noProof/>
                <w:color w:val="000000"/>
                <w:sz w:val="20"/>
                <w:szCs w:val="20"/>
                <w:lang w:eastAsia="pl-PL"/>
              </w:rPr>
            </w:pPr>
          </w:p>
        </w:tc>
      </w:tr>
      <w:tr w:rsidR="00C8270C" w:rsidRPr="00695C6B" w14:paraId="0E4F7A9D" w14:textId="4CA4FD0B" w:rsidTr="00C8270C">
        <w:trPr>
          <w:cantSplit/>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92565B7" w14:textId="77777777" w:rsidR="00C8270C" w:rsidRPr="00695C6B" w:rsidRDefault="00C8270C" w:rsidP="00E76ED0">
            <w:pPr>
              <w:spacing w:after="0" w:line="240" w:lineRule="auto"/>
              <w:rPr>
                <w:rFonts w:ascii="Calibri" w:eastAsia="Times New Roman" w:hAnsi="Calibri" w:cs="Tahoma"/>
                <w:noProof/>
                <w:sz w:val="20"/>
                <w:szCs w:val="20"/>
                <w:lang w:eastAsia="pl-PL"/>
              </w:rPr>
            </w:pPr>
            <w:r w:rsidRPr="00695C6B">
              <w:rPr>
                <w:rFonts w:ascii="Calibri" w:eastAsia="Times New Roman" w:hAnsi="Calibri" w:cs="Tahoma"/>
                <w:noProof/>
                <w:sz w:val="20"/>
                <w:szCs w:val="20"/>
                <w:lang w:eastAsia="pl-PL"/>
              </w:rPr>
              <w:lastRenderedPageBreak/>
              <w:t>11.</w:t>
            </w:r>
          </w:p>
        </w:tc>
        <w:tc>
          <w:tcPr>
            <w:tcW w:w="869" w:type="pct"/>
            <w:tcBorders>
              <w:top w:val="nil"/>
              <w:left w:val="nil"/>
              <w:bottom w:val="single" w:sz="8" w:space="0" w:color="auto"/>
              <w:right w:val="single" w:sz="8" w:space="0" w:color="auto"/>
            </w:tcBorders>
            <w:tcMar>
              <w:top w:w="0" w:type="dxa"/>
              <w:left w:w="108" w:type="dxa"/>
              <w:bottom w:w="0" w:type="dxa"/>
              <w:right w:w="108" w:type="dxa"/>
            </w:tcMar>
          </w:tcPr>
          <w:p w14:paraId="4ABBCE42"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Gwarancja i oświadczenia</w:t>
            </w:r>
          </w:p>
        </w:tc>
        <w:tc>
          <w:tcPr>
            <w:tcW w:w="1884" w:type="pct"/>
            <w:tcBorders>
              <w:top w:val="nil"/>
              <w:left w:val="nil"/>
              <w:bottom w:val="single" w:sz="8" w:space="0" w:color="auto"/>
              <w:right w:val="single" w:sz="8" w:space="0" w:color="auto"/>
            </w:tcBorders>
            <w:tcMar>
              <w:top w:w="0" w:type="dxa"/>
              <w:left w:w="108" w:type="dxa"/>
              <w:bottom w:w="0" w:type="dxa"/>
              <w:right w:w="108" w:type="dxa"/>
            </w:tcMar>
          </w:tcPr>
          <w:p w14:paraId="21E49D55"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36 miesięcy w miejscu instalacji urządzenia z czasem reakcji na zgłoszenia do 4 godzin. Czas przyjmowania zgłoszeń serwisowych w trybie 24x7. Przystąpienie do fizycznej naprawy najpóźniej w następnym dniu roboczym od zgłoszenia awarii z terminem naprawy najpóźniej do 48 godzin od rozpoczęcia naprawy. Gwarantowana możliwość rozszerzenia oferowanego serwisu do 84 miesięcy. Zgłaszania awarii wyłącznie poprzez ogólnopolską linię telefoniczną producenta lub autoryzowany serwis producenta posiadający certyfikat ISO9001 na usługi serwisowe – kontakt z serwisem wyłącznie w języku polskim.</w:t>
            </w:r>
          </w:p>
          <w:p w14:paraId="5A749A2C"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Pisemne oświadczenia wystawione przez producenta:</w:t>
            </w:r>
          </w:p>
          <w:p w14:paraId="464B7116"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 xml:space="preserve">- o gwarancji świadczonej </w:t>
            </w:r>
            <w:bookmarkStart w:id="1" w:name="OLE_LINK1"/>
            <w:bookmarkStart w:id="2" w:name="OLE_LINK2"/>
            <w:r w:rsidRPr="00695C6B">
              <w:rPr>
                <w:rFonts w:ascii="Calibri" w:eastAsia="Times New Roman" w:hAnsi="Calibri" w:cs="Tahoma"/>
                <w:noProof/>
                <w:color w:val="000000"/>
                <w:sz w:val="20"/>
                <w:szCs w:val="20"/>
                <w:lang w:eastAsia="pl-PL"/>
              </w:rPr>
              <w:t xml:space="preserve">w miejscu instalacji urządzenia w rygorze 24x7x4 </w:t>
            </w:r>
            <w:bookmarkEnd w:id="1"/>
            <w:bookmarkEnd w:id="2"/>
            <w:r w:rsidRPr="00695C6B">
              <w:rPr>
                <w:rFonts w:ascii="Calibri" w:eastAsia="Times New Roman" w:hAnsi="Calibri" w:cs="Tahoma"/>
                <w:noProof/>
                <w:color w:val="000000"/>
                <w:sz w:val="20"/>
                <w:szCs w:val="20"/>
                <w:lang w:eastAsia="pl-PL"/>
              </w:rPr>
              <w:t>realizowanej przez producenta lub jego autoryzowany serwis posiadający ISO9001 na usługi serwisowe wraz z potwierdzeniem możliwości przedłużenia gwarancji do 84 miesięcy. W oświadczeniu wymagane jest podanie wszystkich danych kontaktowych z serwisem (mail, telefon, adres) oraz potwierdzenie wykupienia przez wykonawcę wymienionych usług serwisowych u producenta.</w:t>
            </w:r>
          </w:p>
          <w:p w14:paraId="573E306F"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 xml:space="preserve">- że oferowane urządzenie jest zgodne z zapisami specyfikacji technicznej przetargu oraz zgodne z europejskimi normami dotyczącymi CE i WEEE – oświadczenie musi być podpisane i wystawione nie wcześniej niż 1 miesiąc przed ogłoszeniem postępowania przetargowego </w:t>
            </w:r>
          </w:p>
          <w:p w14:paraId="07D4EB31"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r w:rsidRPr="00695C6B">
              <w:rPr>
                <w:rFonts w:ascii="Calibri" w:eastAsia="Times New Roman" w:hAnsi="Calibri" w:cs="Tahoma"/>
                <w:noProof/>
                <w:color w:val="000000"/>
                <w:sz w:val="20"/>
                <w:szCs w:val="20"/>
                <w:lang w:eastAsia="pl-PL"/>
              </w:rPr>
              <w:t xml:space="preserve">Wymaga się, aby wdrożenie i konfigurację urządzenia przeprowadziła osoba posiadająca certyfikat techniczny producenta urządzenia wystawiony w roku wdrożenia systemu </w:t>
            </w:r>
          </w:p>
        </w:tc>
        <w:tc>
          <w:tcPr>
            <w:tcW w:w="1884" w:type="pct"/>
            <w:tcBorders>
              <w:top w:val="nil"/>
              <w:left w:val="nil"/>
              <w:bottom w:val="single" w:sz="8" w:space="0" w:color="auto"/>
              <w:right w:val="single" w:sz="8" w:space="0" w:color="auto"/>
            </w:tcBorders>
          </w:tcPr>
          <w:p w14:paraId="708C6ED4" w14:textId="77777777" w:rsidR="00C8270C" w:rsidRPr="00695C6B" w:rsidRDefault="00C8270C" w:rsidP="00E76ED0">
            <w:pPr>
              <w:spacing w:after="0" w:line="240" w:lineRule="auto"/>
              <w:rPr>
                <w:rFonts w:ascii="Calibri" w:eastAsia="Times New Roman" w:hAnsi="Calibri" w:cs="Tahoma"/>
                <w:noProof/>
                <w:color w:val="000000"/>
                <w:sz w:val="20"/>
                <w:szCs w:val="20"/>
                <w:lang w:eastAsia="pl-PL"/>
              </w:rPr>
            </w:pPr>
          </w:p>
        </w:tc>
      </w:tr>
      <w:bookmarkEnd w:id="0"/>
    </w:tbl>
    <w:p w14:paraId="43206FF9" w14:textId="77777777"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1814"/>
      </w:tblGrid>
      <w:tr w:rsidR="00CF05E8" w:rsidRPr="00CF05E8" w14:paraId="69649D3C" w14:textId="77777777" w:rsidTr="00970BC5">
        <w:trPr>
          <w:trHeight w:val="206"/>
        </w:trPr>
        <w:tc>
          <w:tcPr>
            <w:tcW w:w="1286" w:type="dxa"/>
          </w:tcPr>
          <w:p w14:paraId="12F58857" w14:textId="77777777" w:rsidR="00CF05E8" w:rsidRPr="00CF05E8" w:rsidRDefault="00CF05E8" w:rsidP="00CF05E8">
            <w:pPr>
              <w:spacing w:line="186"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miejscowość:</w:t>
            </w:r>
          </w:p>
        </w:tc>
        <w:tc>
          <w:tcPr>
            <w:tcW w:w="1814" w:type="dxa"/>
          </w:tcPr>
          <w:p w14:paraId="707C3E08" w14:textId="77777777" w:rsidR="00CF05E8" w:rsidRPr="00CF05E8" w:rsidRDefault="00CF05E8" w:rsidP="00CF05E8">
            <w:pPr>
              <w:rPr>
                <w:rFonts w:ascii="Times New Roman" w:eastAsia="Arial" w:hAnsi="Arial" w:cs="Arial"/>
                <w:noProof/>
                <w:sz w:val="18"/>
                <w:szCs w:val="18"/>
                <w:lang w:val="pl-PL" w:eastAsia="pl-PL" w:bidi="pl-PL"/>
              </w:rPr>
            </w:pPr>
          </w:p>
        </w:tc>
      </w:tr>
      <w:tr w:rsidR="00CF05E8" w:rsidRPr="00CF05E8" w14:paraId="1B38979C" w14:textId="77777777" w:rsidTr="00970BC5">
        <w:trPr>
          <w:trHeight w:val="208"/>
        </w:trPr>
        <w:tc>
          <w:tcPr>
            <w:tcW w:w="1286" w:type="dxa"/>
          </w:tcPr>
          <w:p w14:paraId="53F0E907" w14:textId="77777777" w:rsidR="00CF05E8" w:rsidRPr="00CF05E8" w:rsidRDefault="00CF05E8" w:rsidP="00CF05E8">
            <w:pPr>
              <w:spacing w:line="187"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data:</w:t>
            </w:r>
          </w:p>
        </w:tc>
        <w:tc>
          <w:tcPr>
            <w:tcW w:w="1814" w:type="dxa"/>
          </w:tcPr>
          <w:p w14:paraId="5C289067" w14:textId="77777777" w:rsidR="00CF05E8" w:rsidRPr="00CF05E8" w:rsidRDefault="00CF05E8" w:rsidP="00CF05E8">
            <w:pPr>
              <w:rPr>
                <w:rFonts w:ascii="Times New Roman" w:eastAsia="Arial" w:hAnsi="Arial" w:cs="Arial"/>
                <w:noProof/>
                <w:sz w:val="18"/>
                <w:szCs w:val="18"/>
                <w:lang w:val="pl-PL" w:eastAsia="pl-PL" w:bidi="pl-PL"/>
              </w:rPr>
            </w:pPr>
          </w:p>
        </w:tc>
      </w:tr>
    </w:tbl>
    <w:p w14:paraId="68676237" w14:textId="77777777" w:rsidR="00CF05E8" w:rsidRPr="00695C6B" w:rsidRDefault="00CF05E8" w:rsidP="00CF05E8">
      <w:pPr>
        <w:widowControl w:val="0"/>
        <w:autoSpaceDE w:val="0"/>
        <w:autoSpaceDN w:val="0"/>
        <w:spacing w:before="135" w:after="0" w:line="240" w:lineRule="auto"/>
        <w:ind w:left="5195" w:right="102" w:firstLine="2460"/>
        <w:rPr>
          <w:rFonts w:ascii="Arial" w:eastAsia="Arial" w:hAnsi="Arial" w:cs="Arial"/>
          <w:noProof/>
          <w:sz w:val="18"/>
          <w:szCs w:val="18"/>
          <w:lang w:eastAsia="pl-PL" w:bidi="pl-PL"/>
        </w:rPr>
      </w:pPr>
      <w:r w:rsidRPr="00CF05E8">
        <w:rPr>
          <w:rFonts w:ascii="Arial" w:eastAsia="Arial" w:hAnsi="Arial" w:cs="Arial"/>
          <w:noProof/>
          <w:sz w:val="18"/>
          <w:szCs w:val="18"/>
          <w:lang w:eastAsia="pl-PL" w:bidi="pl-PL"/>
        </w:rPr>
        <w:t xml:space="preserve">(podpis pieczątka imienna osoby upoważnionej </w:t>
      </w:r>
    </w:p>
    <w:p w14:paraId="17C0943D" w14:textId="1446BED9" w:rsidR="00E76ED0" w:rsidRPr="00695C6B" w:rsidRDefault="00CF05E8" w:rsidP="004A5BD0">
      <w:pPr>
        <w:widowControl w:val="0"/>
        <w:autoSpaceDE w:val="0"/>
        <w:autoSpaceDN w:val="0"/>
        <w:spacing w:before="135" w:after="0" w:line="240" w:lineRule="auto"/>
        <w:ind w:left="5195" w:right="102" w:firstLine="2460"/>
        <w:rPr>
          <w:noProof/>
        </w:rPr>
      </w:pPr>
      <w:r w:rsidRPr="00CF05E8">
        <w:rPr>
          <w:rFonts w:ascii="Arial" w:eastAsia="Arial" w:hAnsi="Arial" w:cs="Arial"/>
          <w:noProof/>
          <w:sz w:val="18"/>
          <w:szCs w:val="18"/>
          <w:lang w:eastAsia="pl-PL" w:bidi="pl-PL"/>
        </w:rPr>
        <w:t>do składania oświadczeń woli w imieniu Wykonawcy)</w:t>
      </w:r>
    </w:p>
    <w:sectPr w:rsidR="00E76ED0" w:rsidRPr="00695C6B" w:rsidSect="00657EA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B54"/>
    <w:multiLevelType w:val="hybridMultilevel"/>
    <w:tmpl w:val="E9D2BAC6"/>
    <w:lvl w:ilvl="0" w:tplc="399A4EE4">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74361"/>
    <w:multiLevelType w:val="hybridMultilevel"/>
    <w:tmpl w:val="282ECBE0"/>
    <w:lvl w:ilvl="0" w:tplc="FD0A2628">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02BB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4519E2"/>
    <w:multiLevelType w:val="hybridMultilevel"/>
    <w:tmpl w:val="37A65FF6"/>
    <w:lvl w:ilvl="0" w:tplc="7B8E6216">
      <w:start w:val="1"/>
      <w:numFmt w:val="lowerLetter"/>
      <w:lvlText w:val="%1."/>
      <w:lvlJc w:val="left"/>
      <w:pPr>
        <w:ind w:left="1050" w:hanging="360"/>
      </w:pPr>
      <w:rPr>
        <w:rFonts w:cs="Times New Roman"/>
        <w:strike w:val="0"/>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 w15:restartNumberingAfterBreak="0">
    <w:nsid w:val="15517A69"/>
    <w:multiLevelType w:val="hybridMultilevel"/>
    <w:tmpl w:val="3140D4A6"/>
    <w:lvl w:ilvl="0" w:tplc="0415000F">
      <w:start w:val="1"/>
      <w:numFmt w:val="decimal"/>
      <w:lvlText w:val="%1."/>
      <w:lvlJc w:val="left"/>
      <w:pPr>
        <w:ind w:left="785" w:hanging="360"/>
      </w:pPr>
    </w:lvl>
    <w:lvl w:ilvl="1" w:tplc="04150001">
      <w:start w:val="1"/>
      <w:numFmt w:val="bullet"/>
      <w:lvlText w:val=""/>
      <w:lvlJc w:val="left"/>
      <w:pPr>
        <w:ind w:left="1505" w:hanging="360"/>
      </w:pPr>
      <w:rPr>
        <w:rFonts w:ascii="Symbol" w:hAnsi="Symbol" w:hint="default"/>
      </w:r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5" w15:restartNumberingAfterBreak="0">
    <w:nsid w:val="20AD3D86"/>
    <w:multiLevelType w:val="hybridMultilevel"/>
    <w:tmpl w:val="221866FE"/>
    <w:lvl w:ilvl="0" w:tplc="246C8F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88797C"/>
    <w:multiLevelType w:val="hybridMultilevel"/>
    <w:tmpl w:val="DE24879E"/>
    <w:lvl w:ilvl="0" w:tplc="0A8AD6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B82367"/>
    <w:multiLevelType w:val="hybridMultilevel"/>
    <w:tmpl w:val="A2982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CF4A6C"/>
    <w:multiLevelType w:val="hybridMultilevel"/>
    <w:tmpl w:val="A6F0D94C"/>
    <w:lvl w:ilvl="0" w:tplc="738890C2">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74031"/>
    <w:multiLevelType w:val="multilevel"/>
    <w:tmpl w:val="939656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67632D6"/>
    <w:multiLevelType w:val="hybridMultilevel"/>
    <w:tmpl w:val="F5E05DE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28A03EC3"/>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B5B0374"/>
    <w:multiLevelType w:val="hybridMultilevel"/>
    <w:tmpl w:val="6E5E7F1E"/>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F603C7D"/>
    <w:multiLevelType w:val="hybridMultilevel"/>
    <w:tmpl w:val="B4B28980"/>
    <w:lvl w:ilvl="0" w:tplc="FFFFFFFF">
      <w:start w:val="1"/>
      <w:numFmt w:val="decimal"/>
      <w:lvlText w:val="%1."/>
      <w:lvlJc w:val="left"/>
      <w:pPr>
        <w:ind w:left="748" w:hanging="360"/>
      </w:pPr>
      <w:rPr>
        <w:rFonts w:ascii="Arial" w:hAnsi="Arial" w:cs="Arial" w:hint="default"/>
        <w:b w:val="0"/>
        <w:i w:val="0"/>
        <w:sz w:val="18"/>
        <w:szCs w:val="18"/>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14" w15:restartNumberingAfterBreak="0">
    <w:nsid w:val="30712379"/>
    <w:multiLevelType w:val="hybridMultilevel"/>
    <w:tmpl w:val="2EE46AB2"/>
    <w:lvl w:ilvl="0" w:tplc="9140CEF6">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5190F"/>
    <w:multiLevelType w:val="hybridMultilevel"/>
    <w:tmpl w:val="F5A42B0E"/>
    <w:lvl w:ilvl="0" w:tplc="0415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66509F"/>
    <w:multiLevelType w:val="hybridMultilevel"/>
    <w:tmpl w:val="5BE83E6A"/>
    <w:lvl w:ilvl="0" w:tplc="1CCAF762">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4F67E0"/>
    <w:multiLevelType w:val="multilevel"/>
    <w:tmpl w:val="CD9EC2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3925DF5"/>
    <w:multiLevelType w:val="hybridMultilevel"/>
    <w:tmpl w:val="94D64DA0"/>
    <w:lvl w:ilvl="0" w:tplc="0415000D">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6B76CE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593982"/>
    <w:multiLevelType w:val="multilevel"/>
    <w:tmpl w:val="A1A4BE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76E5CE5"/>
    <w:multiLevelType w:val="hybridMultilevel"/>
    <w:tmpl w:val="183C0318"/>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85E63AC"/>
    <w:multiLevelType w:val="hybridMultilevel"/>
    <w:tmpl w:val="17AC9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5266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A855B37"/>
    <w:multiLevelType w:val="hybridMultilevel"/>
    <w:tmpl w:val="24B8236A"/>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F1274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CB6FA0"/>
    <w:multiLevelType w:val="hybridMultilevel"/>
    <w:tmpl w:val="9A7AE70A"/>
    <w:lvl w:ilvl="0" w:tplc="88D847EC">
      <w:start w:val="7"/>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1E2BA8"/>
    <w:multiLevelType w:val="hybridMultilevel"/>
    <w:tmpl w:val="16C02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E9D1ECD"/>
    <w:multiLevelType w:val="hybridMultilevel"/>
    <w:tmpl w:val="B4B28980"/>
    <w:lvl w:ilvl="0" w:tplc="570E1BE4">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num w:numId="1" w16cid:durableId="1160804983">
    <w:abstractNumId w:val="6"/>
  </w:num>
  <w:num w:numId="2" w16cid:durableId="14965337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126751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529483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618819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64993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128665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843430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678772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317574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9333526">
    <w:abstractNumId w:val="10"/>
  </w:num>
  <w:num w:numId="12" w16cid:durableId="28496391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258961">
    <w:abstractNumId w:val="28"/>
  </w:num>
  <w:num w:numId="14" w16cid:durableId="1683970939">
    <w:abstractNumId w:val="7"/>
  </w:num>
  <w:num w:numId="15" w16cid:durableId="916089131">
    <w:abstractNumId w:val="22"/>
  </w:num>
  <w:num w:numId="16" w16cid:durableId="16432433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5106084">
    <w:abstractNumId w:val="4"/>
  </w:num>
  <w:num w:numId="18" w16cid:durableId="1730836606">
    <w:abstractNumId w:val="19"/>
  </w:num>
  <w:num w:numId="19" w16cid:durableId="1448431052">
    <w:abstractNumId w:val="11"/>
  </w:num>
  <w:num w:numId="20" w16cid:durableId="1304919833">
    <w:abstractNumId w:val="25"/>
  </w:num>
  <w:num w:numId="21" w16cid:durableId="646667985">
    <w:abstractNumId w:val="2"/>
  </w:num>
  <w:num w:numId="22" w16cid:durableId="1100025379">
    <w:abstractNumId w:val="21"/>
  </w:num>
  <w:num w:numId="23" w16cid:durableId="87045149">
    <w:abstractNumId w:val="12"/>
  </w:num>
  <w:num w:numId="24" w16cid:durableId="37321662">
    <w:abstractNumId w:val="23"/>
  </w:num>
  <w:num w:numId="25" w16cid:durableId="97526851">
    <w:abstractNumId w:val="24"/>
  </w:num>
  <w:num w:numId="26" w16cid:durableId="1528447553">
    <w:abstractNumId w:val="18"/>
  </w:num>
  <w:num w:numId="27" w16cid:durableId="1782340810">
    <w:abstractNumId w:val="15"/>
  </w:num>
  <w:num w:numId="28" w16cid:durableId="638262620">
    <w:abstractNumId w:val="5"/>
  </w:num>
  <w:num w:numId="29" w16cid:durableId="1471052215">
    <w:abstractNumId w:val="26"/>
  </w:num>
  <w:num w:numId="30" w16cid:durableId="826900154">
    <w:abstractNumId w:val="29"/>
  </w:num>
  <w:num w:numId="31" w16cid:durableId="1584098191">
    <w:abstractNumId w:val="3"/>
  </w:num>
  <w:num w:numId="32" w16cid:durableId="1684895333">
    <w:abstractNumId w:val="27"/>
  </w:num>
  <w:num w:numId="33" w16cid:durableId="1042242591">
    <w:abstractNumId w:val="13"/>
  </w:num>
  <w:num w:numId="34" w16cid:durableId="28142949">
    <w:abstractNumId w:val="0"/>
  </w:num>
  <w:num w:numId="35" w16cid:durableId="641235156">
    <w:abstractNumId w:val="9"/>
  </w:num>
  <w:num w:numId="36" w16cid:durableId="1848054755">
    <w:abstractNumId w:val="8"/>
  </w:num>
  <w:num w:numId="37" w16cid:durableId="290521342">
    <w:abstractNumId w:val="16"/>
  </w:num>
  <w:num w:numId="38" w16cid:durableId="990866311">
    <w:abstractNumId w:val="20"/>
  </w:num>
  <w:num w:numId="39" w16cid:durableId="756023837">
    <w:abstractNumId w:val="14"/>
  </w:num>
  <w:num w:numId="40" w16cid:durableId="409811144">
    <w:abstractNumId w:val="1"/>
  </w:num>
  <w:num w:numId="41" w16cid:durableId="20811003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DA"/>
    <w:rsid w:val="0007147B"/>
    <w:rsid w:val="000B30AC"/>
    <w:rsid w:val="00136CE4"/>
    <w:rsid w:val="002317D3"/>
    <w:rsid w:val="002F08C7"/>
    <w:rsid w:val="00343610"/>
    <w:rsid w:val="0042245C"/>
    <w:rsid w:val="004A5BD0"/>
    <w:rsid w:val="004F3825"/>
    <w:rsid w:val="00657EA6"/>
    <w:rsid w:val="00695C6B"/>
    <w:rsid w:val="00735EED"/>
    <w:rsid w:val="00745425"/>
    <w:rsid w:val="007C5CE0"/>
    <w:rsid w:val="008841BD"/>
    <w:rsid w:val="00903F0F"/>
    <w:rsid w:val="009138DA"/>
    <w:rsid w:val="009167F5"/>
    <w:rsid w:val="00A0236D"/>
    <w:rsid w:val="00A5572F"/>
    <w:rsid w:val="00A643AB"/>
    <w:rsid w:val="00A76C3A"/>
    <w:rsid w:val="00B021ED"/>
    <w:rsid w:val="00B63094"/>
    <w:rsid w:val="00B933C8"/>
    <w:rsid w:val="00BD11F5"/>
    <w:rsid w:val="00C671EF"/>
    <w:rsid w:val="00C8270C"/>
    <w:rsid w:val="00CB798D"/>
    <w:rsid w:val="00CE3087"/>
    <w:rsid w:val="00CF05E8"/>
    <w:rsid w:val="00D4270C"/>
    <w:rsid w:val="00DD5CBC"/>
    <w:rsid w:val="00E55690"/>
    <w:rsid w:val="00E76ED0"/>
    <w:rsid w:val="00E8195D"/>
    <w:rsid w:val="00FC0E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7534"/>
  <w15:chartTrackingRefBased/>
  <w15:docId w15:val="{539AB5EF-3888-42D2-A3AC-3A7742E5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6ED0"/>
    <w:pPr>
      <w:ind w:left="720"/>
      <w:contextualSpacing/>
    </w:pPr>
  </w:style>
  <w:style w:type="table" w:customStyle="1" w:styleId="TableNormal">
    <w:name w:val="Table Normal"/>
    <w:uiPriority w:val="2"/>
    <w:semiHidden/>
    <w:unhideWhenUsed/>
    <w:qFormat/>
    <w:rsid w:val="00CF05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E76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6ED0"/>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Nagwek">
    <w:name w:val="header"/>
    <w:basedOn w:val="Normalny"/>
    <w:link w:val="Nagwek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76ED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76ED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874</Words>
  <Characters>5245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Specjalistyczny Szpital w Ciechanowie Specjalistyczny Szpital w Ciechanowie</cp:lastModifiedBy>
  <cp:revision>11</cp:revision>
  <dcterms:created xsi:type="dcterms:W3CDTF">2022-08-10T11:22:00Z</dcterms:created>
  <dcterms:modified xsi:type="dcterms:W3CDTF">2022-08-11T09:00:00Z</dcterms:modified>
</cp:coreProperties>
</file>